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80"/>
        <w:gridCol w:w="2100"/>
        <w:gridCol w:w="1360"/>
        <w:gridCol w:w="1840"/>
        <w:gridCol w:w="1640"/>
        <w:gridCol w:w="2240"/>
        <w:gridCol w:w="2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kern w:val="0"/>
                <w:sz w:val="36"/>
                <w:szCs w:val="36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6"/>
                <w:szCs w:val="36"/>
              </w:rPr>
              <w:t>国家信访局2016年信访理论研究项目立项清单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kern w:val="0"/>
                <w:sz w:val="36"/>
                <w:szCs w:val="36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kern w:val="0"/>
                <w:sz w:val="36"/>
                <w:szCs w:val="36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kern w:val="0"/>
                <w:sz w:val="36"/>
                <w:szCs w:val="36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kern w:val="0"/>
                <w:sz w:val="36"/>
                <w:szCs w:val="36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kern w:val="0"/>
                <w:sz w:val="36"/>
                <w:szCs w:val="36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kern w:val="0"/>
                <w:sz w:val="36"/>
                <w:szCs w:val="36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kern w:val="0"/>
                <w:sz w:val="36"/>
                <w:szCs w:val="36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课题号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课题方向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课题性质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课题编号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课题申报人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申报单位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申报项目名称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信访工作的法律定位研究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重大课题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2016AG0103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田文利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河北工业大学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信访工作法律定位研究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第三方力量参与信访工作机制研究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一般课题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2016AG0203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叶  莲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杭州职业技术学院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律师参与信访工作的引导与规制研究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“互联网+”与信访工作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一般课题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2016AG0302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田先红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重庆大学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“互联网+”时代创新农村基层信访工作模式研究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05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中外处理公民申诉制度的比较研究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一般课题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2016AG0502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江利红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华东政法大学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中外处理公民申诉制度比较研究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06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信访事项分类及处理研究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重点课题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2016AG0604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刘正强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上海社会科学院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以“去存量”为核心的信访积案分类治理研究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2016AG0601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龚维斌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国家行政学院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信访事项分类研究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加强信访风险预警防控机制研究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一般课题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2016AG0702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王  晔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湖南省委党校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涉法涉诉信访风险预警防控机制改革实证研究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社会心理与信访工作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一般课题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2016AG0801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汤法远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贵州师范大学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基层政府行为与社会信访心理的健康发展研究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D5306"/>
    <w:rsid w:val="51CD53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2016-05-27T07:42:00Z</dcterms:created>
  <dc:creator>dell</dc:creator>
  <cp:lastModifiedBy>dell</cp:lastModifiedBy>
  <dcterms:modified xsi:type="dcterms:W3CDTF">2016-05-27T07:48:54Z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