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5F" w:rsidRDefault="0060375F" w:rsidP="0060375F">
      <w:pPr>
        <w:spacing w:line="360" w:lineRule="auto"/>
        <w:rPr>
          <w:rFonts w:ascii="仿宋" w:eastAsia="仿宋" w:hAnsi="仿宋" w:hint="eastAsia"/>
          <w:kern w:val="0"/>
          <w:sz w:val="32"/>
          <w:u w:color="000000"/>
        </w:rPr>
      </w:pPr>
      <w:r>
        <w:rPr>
          <w:rFonts w:ascii="Times New Roman" w:eastAsia="仿宋_GB2312" w:hAnsi="Times New Roman"/>
          <w:sz w:val="32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signsample" o:spid="_x0000_s1027" type="#_x0000_t201" style="position:absolute;left:0;text-align:left;margin-left:617.9pt;margin-top:0;width:80pt;height:30pt;z-index:-251656192;mso-position-horizontal-relative:margin;mso-position-vertical-relative:margin" filled="f" stroked="f">
            <v:imagedata r:id="rId4" o:title=""/>
            <v:path shadowok="t"/>
            <w10:wrap anchorx="margin" anchory="margin"/>
          </v:shape>
        </w:pict>
      </w:r>
      <w:r>
        <w:rPr>
          <w:rFonts w:ascii="Times New Roman" w:eastAsia="仿宋_GB2312" w:hAnsi="Times New Roman"/>
          <w:sz w:val="32"/>
          <w:szCs w:val="28"/>
        </w:rPr>
        <w:t xml:space="preserve">  </w:t>
      </w:r>
    </w:p>
    <w:p w:rsidR="0060375F" w:rsidRDefault="0060375F" w:rsidP="0060375F">
      <w:pPr>
        <w:spacing w:line="360" w:lineRule="auto"/>
        <w:jc w:val="center"/>
        <w:rPr>
          <w:rFonts w:ascii="黑体" w:eastAsia="黑体" w:hAnsi="黑体" w:hint="eastAsia"/>
          <w:bCs/>
          <w:sz w:val="36"/>
          <w:szCs w:val="32"/>
        </w:rPr>
      </w:pPr>
      <w:r>
        <w:rPr>
          <w:rFonts w:ascii="仿宋_GB2312" w:eastAsia="仿宋_GB2312" w:hint="eastAsia"/>
          <w:b/>
          <w:szCs w:val="28"/>
        </w:rPr>
        <w:t xml:space="preserve"> </w:t>
      </w:r>
      <w:r>
        <w:rPr>
          <w:rFonts w:ascii="黑体" w:eastAsia="黑体" w:hAnsi="黑体" w:hint="eastAsia"/>
          <w:bCs/>
          <w:sz w:val="36"/>
          <w:szCs w:val="32"/>
        </w:rPr>
        <w:t>交通运输领域通过法定途径分类处理信访投诉请求清单</w:t>
      </w:r>
    </w:p>
    <w:p w:rsidR="0060375F" w:rsidRDefault="0060375F" w:rsidP="0060375F">
      <w:pPr>
        <w:spacing w:line="360" w:lineRule="auto"/>
        <w:jc w:val="center"/>
        <w:rPr>
          <w:rFonts w:ascii="仿宋_GB2312" w:eastAsia="仿宋_GB2312"/>
          <w:b/>
          <w:szCs w:val="28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57"/>
        <w:gridCol w:w="3768"/>
        <w:gridCol w:w="4425"/>
        <w:gridCol w:w="2400"/>
      </w:tblGrid>
      <w:tr w:rsidR="0060375F" w:rsidTr="00F77701">
        <w:trPr>
          <w:trHeight w:val="75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问题分类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相关法律依据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法定途径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公路建设</w:t>
            </w:r>
            <w:r>
              <w:rPr>
                <w:rFonts w:ascii="Times New Roman" w:hAnsi="Times New Roman" w:hint="eastAsia"/>
                <w:sz w:val="24"/>
                <w:szCs w:val="21"/>
              </w:rPr>
              <w:t>与管理</w:t>
            </w:r>
            <w:r>
              <w:rPr>
                <w:rFonts w:ascii="Times New Roman" w:hAnsi="Times New Roman"/>
                <w:sz w:val="24"/>
                <w:szCs w:val="21"/>
              </w:rPr>
              <w:t>问题</w:t>
            </w: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1.1</w:t>
            </w:r>
            <w:r>
              <w:rPr>
                <w:rFonts w:ascii="Times New Roman" w:hAnsi="Times New Roman"/>
                <w:sz w:val="24"/>
                <w:szCs w:val="21"/>
              </w:rPr>
              <w:t>公路建设施工单位拖欠农民工工资、工程款、机械款问题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《中华人民共和国劳动法》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《中华人民共和国劳动合同法》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《中华人民共和国合同法》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《中华人民共和国民事诉讼法》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调解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仲裁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诉讼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1.2</w:t>
            </w:r>
            <w:r>
              <w:rPr>
                <w:rFonts w:ascii="Times New Roman" w:hAnsi="Times New Roman"/>
                <w:sz w:val="24"/>
                <w:szCs w:val="21"/>
              </w:rPr>
              <w:t>公路建设征地拆迁补偿不及时、不到位</w:t>
            </w:r>
            <w:r>
              <w:rPr>
                <w:rFonts w:ascii="Times New Roman" w:hAnsi="Times New Roman" w:hint="eastAsia"/>
                <w:sz w:val="24"/>
                <w:szCs w:val="21"/>
              </w:rPr>
              <w:t>以及</w:t>
            </w:r>
            <w:r>
              <w:rPr>
                <w:rFonts w:ascii="Times New Roman" w:hAnsi="Times New Roman"/>
                <w:sz w:val="24"/>
                <w:szCs w:val="21"/>
              </w:rPr>
              <w:t>补偿标准问题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《中华人民共和国土地管理法》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《中华人民共和国土地管理法实施条例》及地方人民政府征地拆迁补偿标准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行政裁决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行政</w:t>
            </w:r>
            <w:r>
              <w:rPr>
                <w:rFonts w:ascii="Times New Roman" w:hAnsi="Times New Roman"/>
                <w:sz w:val="24"/>
                <w:szCs w:val="21"/>
              </w:rPr>
              <w:t>诉讼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1.3 </w:t>
            </w:r>
            <w:r>
              <w:rPr>
                <w:rFonts w:ascii="Times New Roman" w:hAnsi="Times New Roman"/>
                <w:sz w:val="24"/>
                <w:szCs w:val="21"/>
              </w:rPr>
              <w:t>公路建设施工</w:t>
            </w:r>
            <w:r>
              <w:rPr>
                <w:rFonts w:ascii="Times New Roman" w:hAnsi="Times New Roman" w:hint="eastAsia"/>
                <w:sz w:val="24"/>
                <w:szCs w:val="21"/>
              </w:rPr>
              <w:t>损毁</w:t>
            </w:r>
            <w:r>
              <w:rPr>
                <w:rFonts w:ascii="Times New Roman" w:hAnsi="Times New Roman"/>
                <w:sz w:val="24"/>
                <w:szCs w:val="21"/>
              </w:rPr>
              <w:t>群众物产问题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《中华人民共和国物权法》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《中华人民共和国侵权责任法》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《中华人民共和国民事诉讼法》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调解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仲裁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诉讼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1.4</w:t>
            </w:r>
            <w:r>
              <w:rPr>
                <w:rFonts w:ascii="Times New Roman" w:hAnsi="Times New Roman" w:hint="eastAsia"/>
                <w:sz w:val="24"/>
                <w:szCs w:val="21"/>
              </w:rPr>
              <w:t>公路</w:t>
            </w:r>
            <w:r>
              <w:rPr>
                <w:rFonts w:ascii="Times New Roman" w:hAnsi="Times New Roman"/>
                <w:sz w:val="24"/>
                <w:szCs w:val="21"/>
              </w:rPr>
              <w:t>建设质量问题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《中华人民共和国公路法》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《中华人民共和国建筑法》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《建设工程质量管理条例》</w:t>
            </w:r>
          </w:p>
          <w:p w:rsidR="0060375F" w:rsidRDefault="0060375F" w:rsidP="00F77701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1"/>
              </w:rPr>
              <w:t>《建设工程勘察设计管理条例》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</w:t>
            </w:r>
            <w:r>
              <w:rPr>
                <w:rFonts w:ascii="Times New Roman" w:hAnsi="Times New Roman" w:hint="eastAsia"/>
                <w:sz w:val="24"/>
                <w:szCs w:val="21"/>
              </w:rPr>
              <w:t>申诉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1.5</w:t>
            </w:r>
            <w:r>
              <w:rPr>
                <w:rFonts w:ascii="Times New Roman" w:hAnsi="Times New Roman" w:hint="eastAsia"/>
                <w:sz w:val="24"/>
                <w:szCs w:val="21"/>
              </w:rPr>
              <w:t>公路</w:t>
            </w:r>
            <w:r>
              <w:rPr>
                <w:rFonts w:ascii="Times New Roman" w:hAnsi="Times New Roman"/>
                <w:sz w:val="24"/>
                <w:szCs w:val="21"/>
              </w:rPr>
              <w:t>建设招标投标问题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《中华人民共和国招标投标法》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《中华人民共和国招标投标法实施条例》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《中华人民共和国合同法》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</w:t>
            </w:r>
            <w:r>
              <w:rPr>
                <w:rFonts w:ascii="Times New Roman" w:hAnsi="Times New Roman" w:hint="eastAsia"/>
                <w:sz w:val="24"/>
                <w:szCs w:val="21"/>
              </w:rPr>
              <w:t>申诉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</w:t>
            </w:r>
            <w:r>
              <w:rPr>
                <w:rFonts w:ascii="Times New Roman" w:hAnsi="Times New Roman" w:hint="eastAsia"/>
                <w:sz w:val="24"/>
                <w:szCs w:val="21"/>
              </w:rPr>
              <w:t>监察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sz w:val="24"/>
                <w:szCs w:val="21"/>
              </w:rPr>
              <w:t>6</w:t>
            </w:r>
            <w:r>
              <w:rPr>
                <w:rFonts w:ascii="Times New Roman" w:hAnsi="Times New Roman" w:hint="eastAsia"/>
                <w:sz w:val="24"/>
                <w:szCs w:val="21"/>
              </w:rPr>
              <w:t>公路建设造成环境污染</w:t>
            </w:r>
            <w:r>
              <w:rPr>
                <w:rFonts w:ascii="Times New Roman" w:hAnsi="Times New Roman"/>
                <w:sz w:val="24"/>
                <w:szCs w:val="21"/>
              </w:rPr>
              <w:t>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《中华人民共和国环境保护法》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</w:t>
            </w:r>
            <w:r>
              <w:rPr>
                <w:rFonts w:ascii="Times New Roman" w:hAnsi="Times New Roman" w:hint="eastAsia"/>
                <w:sz w:val="24"/>
                <w:szCs w:val="21"/>
              </w:rPr>
              <w:t>申诉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.</w:t>
            </w:r>
            <w:r>
              <w:rPr>
                <w:rFonts w:ascii="Times New Roman" w:hAnsi="Times New Roman" w:hint="eastAsia"/>
                <w:sz w:val="24"/>
                <w:szCs w:val="21"/>
              </w:rPr>
              <w:t>7</w:t>
            </w:r>
            <w:r>
              <w:rPr>
                <w:rFonts w:ascii="Times New Roman" w:hAnsi="Times New Roman"/>
                <w:sz w:val="24"/>
                <w:szCs w:val="21"/>
              </w:rPr>
              <w:t>收费公路通行费</w:t>
            </w:r>
            <w:r>
              <w:rPr>
                <w:rFonts w:ascii="Times New Roman" w:hAnsi="Times New Roman" w:hint="eastAsia"/>
                <w:sz w:val="24"/>
                <w:szCs w:val="21"/>
              </w:rPr>
              <w:t>收费</w:t>
            </w:r>
            <w:r>
              <w:rPr>
                <w:rFonts w:ascii="Times New Roman" w:hAnsi="Times New Roman"/>
                <w:sz w:val="24"/>
                <w:szCs w:val="21"/>
              </w:rPr>
              <w:t>争议问题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《中华人民共和国公路法》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《中华人民共和国收费公路管理条例》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《中华人民共和国民事诉讼法》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.</w:t>
            </w:r>
            <w:r>
              <w:rPr>
                <w:rFonts w:ascii="Times New Roman" w:hAnsi="Times New Roman" w:hint="eastAsia"/>
                <w:sz w:val="24"/>
                <w:szCs w:val="21"/>
              </w:rPr>
              <w:t>8</w:t>
            </w:r>
            <w:r>
              <w:rPr>
                <w:rFonts w:ascii="Times New Roman" w:hAnsi="Times New Roman"/>
                <w:sz w:val="24"/>
                <w:szCs w:val="21"/>
              </w:rPr>
              <w:t>公路损害赔偿纠纷问题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《中华人民共和国公路法》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《公路安保条例》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《中华人民共和国民事诉讼法》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民事诉讼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1.9</w:t>
            </w:r>
            <w:r>
              <w:rPr>
                <w:rFonts w:ascii="Times New Roman" w:hAnsi="Times New Roman" w:hint="eastAsia"/>
                <w:sz w:val="24"/>
                <w:szCs w:val="21"/>
              </w:rPr>
              <w:t>治理超限超载的法律依据和具体执法行为</w:t>
            </w:r>
            <w:r>
              <w:rPr>
                <w:rFonts w:ascii="Times New Roman" w:hAnsi="Times New Roman"/>
                <w:sz w:val="24"/>
                <w:szCs w:val="21"/>
              </w:rPr>
              <w:t>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《中华人民共和国公路法》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《中华人民共和国行政强制法》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《公路安全保护条例》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《中华人民共和国道路交通安全法》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道路运输经营与管理问题</w:t>
            </w: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</w:t>
            </w:r>
            <w:r>
              <w:rPr>
                <w:rFonts w:ascii="Times New Roman" w:hAnsi="Times New Roman" w:hint="eastAsia"/>
                <w:sz w:val="24"/>
                <w:szCs w:val="21"/>
              </w:rPr>
              <w:t>申请、延续、停止</w:t>
            </w:r>
            <w:r>
              <w:rPr>
                <w:rFonts w:ascii="Times New Roman" w:hAnsi="Times New Roman"/>
                <w:sz w:val="24"/>
                <w:szCs w:val="21"/>
              </w:rPr>
              <w:t>客运班线营运权问题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《中华人民共和国道路运输条例》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行政许可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客运班线线路、班次和运价调整问题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《中华人民共和国道路运输条例》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《中华人民共和国价格法》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</w:t>
            </w:r>
            <w:r>
              <w:rPr>
                <w:rFonts w:ascii="Times New Roman" w:hAnsi="Times New Roman" w:hint="eastAsia"/>
                <w:sz w:val="24"/>
                <w:szCs w:val="21"/>
              </w:rPr>
              <w:t>申诉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sz w:val="24"/>
                <w:szCs w:val="21"/>
              </w:rPr>
              <w:t>3</w:t>
            </w:r>
            <w:r>
              <w:rPr>
                <w:rFonts w:ascii="Times New Roman" w:hAnsi="Times New Roman"/>
                <w:sz w:val="24"/>
              </w:rPr>
              <w:t>营运客车串线、黑车等</w:t>
            </w:r>
            <w:r>
              <w:rPr>
                <w:rFonts w:ascii="Times New Roman" w:hAnsi="Times New Roman" w:hint="eastAsia"/>
                <w:sz w:val="24"/>
              </w:rPr>
              <w:t>行为</w:t>
            </w:r>
            <w:r>
              <w:rPr>
                <w:rFonts w:ascii="Times New Roman" w:hAnsi="Times New Roman"/>
                <w:sz w:val="24"/>
                <w:szCs w:val="21"/>
              </w:rPr>
              <w:t>扰乱运输市场秩序问题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《中华人民共和国道路运输条例》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</w:t>
            </w:r>
            <w:r>
              <w:rPr>
                <w:rFonts w:ascii="Times New Roman" w:hAnsi="Times New Roman" w:hint="eastAsia"/>
                <w:sz w:val="24"/>
                <w:szCs w:val="21"/>
              </w:rPr>
              <w:t>申诉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sz w:val="24"/>
                <w:szCs w:val="21"/>
              </w:rPr>
              <w:t>4</w:t>
            </w:r>
            <w:r>
              <w:rPr>
                <w:rFonts w:ascii="Times New Roman" w:hAnsi="Times New Roman" w:hint="eastAsia"/>
                <w:sz w:val="24"/>
                <w:szCs w:val="21"/>
              </w:rPr>
              <w:t>客运从业人员、出租车经营者</w:t>
            </w:r>
            <w:r>
              <w:rPr>
                <w:rFonts w:ascii="Times New Roman" w:hAnsi="Times New Roman" w:hint="eastAsia"/>
                <w:sz w:val="24"/>
                <w:szCs w:val="21"/>
              </w:rPr>
              <w:lastRenderedPageBreak/>
              <w:t>与公司之间关于</w:t>
            </w:r>
            <w:r>
              <w:rPr>
                <w:rFonts w:ascii="Times New Roman" w:hAnsi="Times New Roman"/>
                <w:sz w:val="24"/>
                <w:szCs w:val="21"/>
              </w:rPr>
              <w:t>产权、合同、收费、公司管理、</w:t>
            </w:r>
            <w:r>
              <w:rPr>
                <w:rFonts w:ascii="Times New Roman" w:hAnsi="Times New Roman" w:hint="eastAsia"/>
                <w:sz w:val="24"/>
                <w:szCs w:val="21"/>
              </w:rPr>
              <w:t>班次</w:t>
            </w:r>
            <w:r>
              <w:rPr>
                <w:rFonts w:ascii="Times New Roman" w:hAnsi="Times New Roman"/>
                <w:sz w:val="24"/>
                <w:szCs w:val="21"/>
              </w:rPr>
              <w:t>安排</w:t>
            </w:r>
            <w:r>
              <w:rPr>
                <w:rFonts w:ascii="Times New Roman" w:hAnsi="Times New Roman" w:hint="eastAsia"/>
                <w:sz w:val="24"/>
                <w:szCs w:val="21"/>
              </w:rPr>
              <w:t>等产生矛盾的</w:t>
            </w:r>
            <w:r>
              <w:rPr>
                <w:rFonts w:ascii="Times New Roman" w:hAnsi="Times New Roman"/>
                <w:sz w:val="24"/>
                <w:szCs w:val="21"/>
              </w:rPr>
              <w:t>问题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《中华人民共和国合同法》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《中华人民共和国民事诉讼法》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民事诉讼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79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</w:t>
            </w:r>
            <w:r>
              <w:rPr>
                <w:rFonts w:ascii="Times New Roman" w:hAnsi="Times New Roman"/>
                <w:sz w:val="24"/>
                <w:szCs w:val="21"/>
              </w:rPr>
              <w:t>水运管理问题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3.1</w:t>
            </w:r>
            <w:r>
              <w:rPr>
                <w:rFonts w:ascii="Times New Roman" w:hAnsi="Times New Roman"/>
                <w:sz w:val="24"/>
                <w:szCs w:val="21"/>
              </w:rPr>
              <w:t>航道及航道保护范围内采砂、航道内设置渔具或水产养殖设施问题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《中华人民共和国航道法》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</w:t>
            </w:r>
            <w:r>
              <w:rPr>
                <w:rFonts w:ascii="Times New Roman" w:hAnsi="Times New Roman" w:hint="eastAsia"/>
                <w:sz w:val="24"/>
                <w:szCs w:val="21"/>
              </w:rPr>
              <w:t>中华人民共和国</w:t>
            </w:r>
            <w:r>
              <w:rPr>
                <w:rFonts w:ascii="Times New Roman" w:hAnsi="Times New Roman"/>
                <w:sz w:val="24"/>
                <w:szCs w:val="21"/>
              </w:rPr>
              <w:t>渔业法实施细则》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行政许可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3.2</w:t>
            </w:r>
            <w:r>
              <w:rPr>
                <w:rFonts w:ascii="Times New Roman" w:hAnsi="Times New Roman"/>
                <w:sz w:val="24"/>
                <w:szCs w:val="21"/>
              </w:rPr>
              <w:t>港口航道建设争议问题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《中华人民共和国港口法》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《中华人民共和国航道法》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《中华人民共和国招投标法》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《中华人民共和国建设工程质量管理条例》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《中华人民共和国建设工程勘察设计管理条例》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特定类型的投诉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行政许可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468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3.3</w:t>
            </w:r>
            <w:r>
              <w:rPr>
                <w:rFonts w:ascii="Times New Roman" w:hAnsi="Times New Roman"/>
                <w:sz w:val="24"/>
                <w:szCs w:val="21"/>
              </w:rPr>
              <w:t>海峡两岸客货运输行政许可问题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《国务院对确需保留的行政审批项目设定行政许可的决定》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《台湾海峡两岸间航运管理办法》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行政许可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sz w:val="24"/>
                <w:szCs w:val="21"/>
              </w:rPr>
              <w:t>4</w:t>
            </w:r>
            <w:r>
              <w:rPr>
                <w:rFonts w:ascii="Times New Roman" w:hAnsi="Times New Roman"/>
                <w:sz w:val="24"/>
                <w:szCs w:val="21"/>
              </w:rPr>
              <w:t>国内水路运输及辅助业许可投诉问题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《中华人民共和国海商法》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《国内水路运输管理条例》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《国内水路运输管理规定》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《国内水路运输辅助业管理规定》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《外商投资产业指导目录》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sz w:val="24"/>
                <w:szCs w:val="21"/>
              </w:rPr>
              <w:t>国际海运及辅助业许可投诉问题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《国际海运条例》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sz w:val="24"/>
                <w:szCs w:val="21"/>
              </w:rPr>
              <w:t>6</w:t>
            </w:r>
            <w:r>
              <w:rPr>
                <w:rFonts w:ascii="Times New Roman" w:hAnsi="Times New Roman"/>
                <w:sz w:val="24"/>
                <w:szCs w:val="21"/>
              </w:rPr>
              <w:t>破坏航道处罚问题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《中华人民共和国行政处罚法》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《中华人民共和国航道管理条例》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t>《航道管理条例实施细则》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特定类型的申诉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 w:hint="eastAsia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 w:hint="eastAsia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sz w:val="24"/>
                <w:szCs w:val="21"/>
              </w:rPr>
              <w:t>7</w:t>
            </w:r>
            <w:r>
              <w:rPr>
                <w:rFonts w:ascii="Times New Roman" w:hAnsi="Times New Roman"/>
                <w:sz w:val="24"/>
                <w:szCs w:val="21"/>
              </w:rPr>
              <w:t>《港口设施保安符合证书》核发问题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《中华人民共和国港口设施保安规则》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 w:hint="eastAsia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行政许可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sz w:val="24"/>
                <w:szCs w:val="21"/>
              </w:rPr>
              <w:t>8</w:t>
            </w:r>
            <w:r>
              <w:rPr>
                <w:rFonts w:ascii="Times New Roman" w:hAnsi="Times New Roman"/>
                <w:sz w:val="24"/>
                <w:szCs w:val="21"/>
              </w:rPr>
              <w:t>引航机构审批问题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《船舶引航管理规定》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 w:hint="eastAsia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行政许可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sz w:val="24"/>
                <w:szCs w:val="21"/>
              </w:rPr>
              <w:t>9</w:t>
            </w:r>
            <w:r>
              <w:rPr>
                <w:rFonts w:ascii="Times New Roman" w:hAnsi="Times New Roman"/>
                <w:sz w:val="24"/>
                <w:szCs w:val="21"/>
              </w:rPr>
              <w:t>《港口经营许可证》核发问题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《中华人民共和国行政许可法》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《港口经营管理规定》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 w:hint="eastAsia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行政许可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3.1</w:t>
            </w:r>
            <w:r>
              <w:rPr>
                <w:rFonts w:ascii="Times New Roman" w:hAnsi="Times New Roman" w:hint="eastAsia"/>
                <w:sz w:val="24"/>
                <w:szCs w:val="21"/>
              </w:rPr>
              <w:t>0</w:t>
            </w:r>
            <w:r>
              <w:rPr>
                <w:rFonts w:ascii="Times New Roman" w:hAnsi="Times New Roman"/>
                <w:sz w:val="24"/>
                <w:szCs w:val="21"/>
              </w:rPr>
              <w:t>港口收费争议问题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《中华人民共和国港口法》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《中华人民共和国价格法》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《中华人民共和国港口收费规则（内贸部分）》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《中华人民共和国港口收费规则（外贸部分）》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特定类型</w:t>
            </w:r>
            <w:r>
              <w:rPr>
                <w:rFonts w:ascii="Times New Roman" w:hAnsi="Times New Roman" w:hint="eastAsia"/>
                <w:sz w:val="24"/>
                <w:szCs w:val="21"/>
              </w:rPr>
              <w:t>的申诉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3.1</w:t>
            </w: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港口危险品监管问题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《中华人民共和国港口法》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《中华人民共和国安全生产法》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《危险化学品安全管理条例》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《港口危险货物安全管理规定》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《港口经营管理规定》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</w:t>
            </w:r>
            <w:r>
              <w:rPr>
                <w:rFonts w:ascii="Times New Roman" w:hAnsi="Times New Roman" w:hint="eastAsia"/>
                <w:sz w:val="24"/>
                <w:szCs w:val="21"/>
              </w:rPr>
              <w:t>的</w:t>
            </w:r>
            <w:r>
              <w:rPr>
                <w:rFonts w:ascii="Times New Roman" w:hAnsi="Times New Roman"/>
                <w:sz w:val="24"/>
                <w:szCs w:val="21"/>
              </w:rPr>
              <w:t>申诉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3.1</w:t>
            </w:r>
            <w:r>
              <w:rPr>
                <w:rFonts w:ascii="Times New Roman" w:hAnsi="Times New Roman" w:hint="eastAsia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水路危险货物运输争议问题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《中华人民共和国安全生产法》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《危险化学品安全管理条例》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《危险化学品目录》</w:t>
            </w:r>
          </w:p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《水路危险货物运输规则》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</w:t>
            </w:r>
            <w:r>
              <w:rPr>
                <w:rFonts w:ascii="Times New Roman" w:hAnsi="Times New Roman" w:hint="eastAsia"/>
                <w:sz w:val="24"/>
                <w:szCs w:val="21"/>
              </w:rPr>
              <w:t>的</w:t>
            </w:r>
            <w:r>
              <w:rPr>
                <w:rFonts w:ascii="Times New Roman" w:hAnsi="Times New Roman"/>
                <w:sz w:val="24"/>
                <w:szCs w:val="21"/>
              </w:rPr>
              <w:t>申诉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3</w:t>
            </w:r>
            <w:r>
              <w:rPr>
                <w:rFonts w:ascii="Times New Roman" w:hAnsi="Times New Roman"/>
                <w:sz w:val="24"/>
                <w:szCs w:val="21"/>
              </w:rPr>
              <w:t>.1</w:t>
            </w:r>
            <w:r>
              <w:rPr>
                <w:rFonts w:ascii="Times New Roman" w:hAnsi="Times New Roman" w:hint="eastAsia"/>
                <w:sz w:val="24"/>
                <w:szCs w:val="21"/>
              </w:rPr>
              <w:t>3</w:t>
            </w:r>
            <w:r>
              <w:rPr>
                <w:rFonts w:ascii="Times New Roman" w:hAnsi="Times New Roman" w:hint="eastAsia"/>
                <w:sz w:val="24"/>
                <w:szCs w:val="21"/>
              </w:rPr>
              <w:t>国际</w:t>
            </w:r>
            <w:r>
              <w:rPr>
                <w:rFonts w:ascii="Times New Roman" w:hAnsi="Times New Roman"/>
                <w:sz w:val="24"/>
                <w:szCs w:val="21"/>
              </w:rPr>
              <w:t>海运市场违法违规行为举报问题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</w:t>
            </w:r>
            <w:r>
              <w:rPr>
                <w:rFonts w:ascii="Times New Roman" w:hAnsi="Times New Roman" w:hint="eastAsia"/>
                <w:sz w:val="24"/>
                <w:szCs w:val="21"/>
              </w:rPr>
              <w:t>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《中华人民共和国</w:t>
            </w:r>
            <w:r>
              <w:rPr>
                <w:rFonts w:ascii="Times New Roman" w:hAnsi="Times New Roman"/>
                <w:sz w:val="24"/>
                <w:szCs w:val="21"/>
              </w:rPr>
              <w:t>价格法》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《中华人民共和国反垄断法》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《中华人民共和国反不正当竞争法》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《中华人民共和国国际海运条例》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特定类型的申诉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0375F" w:rsidTr="00F77701">
        <w:trPr>
          <w:trHeight w:val="79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4</w:t>
            </w:r>
            <w:r>
              <w:rPr>
                <w:rFonts w:ascii="Times New Roman" w:hAnsi="Times New Roman" w:hint="eastAsia"/>
                <w:sz w:val="24"/>
                <w:szCs w:val="21"/>
              </w:rPr>
              <w:t>.</w:t>
            </w:r>
            <w:r>
              <w:rPr>
                <w:rFonts w:ascii="Times New Roman" w:hAnsi="Times New Roman" w:hint="eastAsia"/>
                <w:sz w:val="24"/>
                <w:szCs w:val="21"/>
              </w:rPr>
              <w:t>水上安全</w:t>
            </w:r>
            <w:r>
              <w:rPr>
                <w:rFonts w:ascii="Times New Roman" w:hAnsi="Times New Roman"/>
                <w:sz w:val="24"/>
                <w:szCs w:val="21"/>
              </w:rPr>
              <w:t>管理问题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4.1</w:t>
            </w:r>
            <w:r>
              <w:rPr>
                <w:rFonts w:ascii="Times New Roman" w:hAnsi="Times New Roman"/>
                <w:sz w:val="24"/>
                <w:szCs w:val="21"/>
              </w:rPr>
              <w:t>船员管理、船员权益保障等问题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《中华人民共和国船员条例》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特定类型的申诉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4.2</w:t>
            </w:r>
            <w:r>
              <w:rPr>
                <w:rFonts w:ascii="Times New Roman" w:hAnsi="Times New Roman"/>
                <w:sz w:val="24"/>
                <w:szCs w:val="21"/>
              </w:rPr>
              <w:t>船检管理问题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《中华人民共和国船舶和海上设施检验条例》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行政裁决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4.3</w:t>
            </w:r>
            <w:r>
              <w:rPr>
                <w:rFonts w:ascii="Times New Roman" w:hAnsi="Times New Roman"/>
                <w:sz w:val="24"/>
                <w:szCs w:val="21"/>
              </w:rPr>
              <w:t>水上搜救问题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《中华人民共和国海上交通安全法》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《中华人民共和国安全生产法》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《中华人民共和国内河交通安全管理条例》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仲裁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调解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4.4</w:t>
            </w:r>
            <w:r>
              <w:rPr>
                <w:rFonts w:ascii="Times New Roman" w:hAnsi="Times New Roman" w:hint="eastAsia"/>
                <w:sz w:val="24"/>
                <w:szCs w:val="21"/>
              </w:rPr>
              <w:t>海事</w:t>
            </w:r>
            <w:r>
              <w:rPr>
                <w:rFonts w:ascii="Times New Roman" w:hAnsi="Times New Roman"/>
                <w:sz w:val="24"/>
                <w:szCs w:val="21"/>
              </w:rPr>
              <w:t>行政处罚问题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《中华人民共和国行政处罚法》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《中华人民共和国海上海事行政处罚规定》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《中华人民共和国内河海事行政处罚规定》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《中华人民共和国行政诉讼法》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4.5 </w:t>
            </w:r>
            <w:r>
              <w:rPr>
                <w:rFonts w:ascii="Times New Roman" w:hAnsi="Times New Roman"/>
                <w:sz w:val="24"/>
                <w:szCs w:val="21"/>
              </w:rPr>
              <w:t>船舶登记问题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</w:t>
            </w:r>
            <w:r>
              <w:rPr>
                <w:rFonts w:ascii="Times New Roman" w:hAnsi="Times New Roman" w:hint="eastAsia"/>
                <w:sz w:val="24"/>
                <w:szCs w:val="21"/>
              </w:rPr>
              <w:t>船舶</w:t>
            </w:r>
            <w:r>
              <w:rPr>
                <w:rFonts w:ascii="Times New Roman" w:hAnsi="Times New Roman"/>
                <w:sz w:val="24"/>
                <w:szCs w:val="21"/>
              </w:rPr>
              <w:t>登记条例》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 w:hint="eastAsia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</w:t>
            </w:r>
            <w:r>
              <w:rPr>
                <w:rFonts w:ascii="Times New Roman" w:hAnsi="Times New Roman" w:hint="eastAsia"/>
                <w:sz w:val="24"/>
                <w:szCs w:val="21"/>
              </w:rPr>
              <w:t>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4.6</w:t>
            </w:r>
            <w:r>
              <w:rPr>
                <w:rFonts w:ascii="Times New Roman" w:hAnsi="Times New Roman"/>
                <w:sz w:val="24"/>
                <w:szCs w:val="21"/>
              </w:rPr>
              <w:t>海事调查引发的侵犯当事人权利问题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《中华人民共和国行政诉讼法》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4.7</w:t>
            </w:r>
            <w:r>
              <w:rPr>
                <w:rFonts w:ascii="Times New Roman" w:hAnsi="Times New Roman"/>
                <w:sz w:val="24"/>
                <w:szCs w:val="21"/>
              </w:rPr>
              <w:t>因水上交通事故引发的民事纠纷问题</w:t>
            </w:r>
          </w:p>
        </w:tc>
        <w:tc>
          <w:tcPr>
            <w:tcW w:w="4425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《中华人民共和国海商法》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《中华人民共和国民法通则》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《中华人民共和国民事诉讼法》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民事诉讼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4.8 </w:t>
            </w:r>
            <w:r>
              <w:rPr>
                <w:rFonts w:ascii="Times New Roman" w:hAnsi="Times New Roman"/>
                <w:sz w:val="24"/>
                <w:szCs w:val="21"/>
              </w:rPr>
              <w:t>外商参与打捞中国沿海水域沉船沉物作业问题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《关于外商参与打捞中国沿海水域沉船沉物管理办法》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《中华人民共和国行政复议法》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行政复议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sz w:val="24"/>
                <w:szCs w:val="21"/>
              </w:rPr>
              <w:t>人事劳动问题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autoSpaceDE w:val="0"/>
              <w:autoSpaceDN w:val="0"/>
              <w:spacing w:line="360" w:lineRule="auto"/>
              <w:ind w:right="4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sz w:val="24"/>
                <w:szCs w:val="21"/>
              </w:rPr>
              <w:t>.1</w:t>
            </w:r>
            <w:r>
              <w:rPr>
                <w:rFonts w:ascii="Times New Roman" w:hAnsi="Times New Roman"/>
                <w:sz w:val="24"/>
                <w:szCs w:val="21"/>
              </w:rPr>
              <w:t>公务员或</w:t>
            </w:r>
            <w:proofErr w:type="gramStart"/>
            <w:r>
              <w:rPr>
                <w:rFonts w:ascii="Times New Roman" w:hAnsi="Times New Roman"/>
                <w:sz w:val="24"/>
                <w:szCs w:val="21"/>
              </w:rPr>
              <w:t>参公管理</w:t>
            </w:r>
            <w:proofErr w:type="gramEnd"/>
            <w:r>
              <w:rPr>
                <w:rFonts w:ascii="Times New Roman" w:hAnsi="Times New Roman"/>
                <w:sz w:val="24"/>
                <w:szCs w:val="21"/>
              </w:rPr>
              <w:t>的事业单位人员对单位涉及本人的人事处理决定</w:t>
            </w:r>
            <w:r>
              <w:rPr>
                <w:rFonts w:ascii="Times New Roman" w:hAnsi="Times New Roman"/>
                <w:sz w:val="24"/>
                <w:szCs w:val="21"/>
                <w:lang w:val="zh-CN"/>
              </w:rPr>
              <w:t>不服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《中华人民共和国公务员法》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《公务员申诉规定（试行）》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《中华人民共和国行政监察法》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特定类型的申诉</w:t>
            </w:r>
          </w:p>
        </w:tc>
      </w:tr>
      <w:tr w:rsidR="0060375F" w:rsidTr="00F77701">
        <w:trPr>
          <w:trHeight w:val="79"/>
        </w:trPr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75F" w:rsidRDefault="0060375F" w:rsidP="00F777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sz w:val="24"/>
                <w:szCs w:val="21"/>
              </w:rPr>
              <w:t>.2</w:t>
            </w:r>
            <w:r>
              <w:rPr>
                <w:rFonts w:ascii="Times New Roman" w:hAnsi="Times New Roman"/>
                <w:sz w:val="24"/>
                <w:szCs w:val="21"/>
              </w:rPr>
              <w:t>事业单位工作人员对单位给予本人处分决定不服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《事业单位工作人员申诉规定》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《事业单位工作人员处分暂行规定》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特定类型的申诉</w:t>
            </w:r>
          </w:p>
          <w:p w:rsidR="0060375F" w:rsidRDefault="0060375F" w:rsidP="00F77701">
            <w:pPr>
              <w:spacing w:line="36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仲裁</w:t>
            </w:r>
          </w:p>
        </w:tc>
      </w:tr>
    </w:tbl>
    <w:p w:rsidR="00C31CDA" w:rsidRPr="0060375F" w:rsidRDefault="00C31CDA" w:rsidP="0060375F"/>
    <w:sectPr w:rsidR="00C31CDA" w:rsidRPr="0060375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75F"/>
    <w:rsid w:val="0060375F"/>
    <w:rsid w:val="00704781"/>
    <w:rsid w:val="00C3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5F"/>
    <w:pPr>
      <w:widowControl w:val="0"/>
      <w:jc w:val="both"/>
    </w:pPr>
    <w:rPr>
      <w:rFonts w:ascii="宋体" w:eastAsia="宋体" w:hAnsi="宋体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</dc:creator>
  <cp:lastModifiedBy>cici</cp:lastModifiedBy>
  <cp:revision>1</cp:revision>
  <dcterms:created xsi:type="dcterms:W3CDTF">2015-10-30T07:12:00Z</dcterms:created>
  <dcterms:modified xsi:type="dcterms:W3CDTF">2015-10-30T07:14:00Z</dcterms:modified>
</cp:coreProperties>
</file>